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3B" w:rsidRDefault="00CF6C2C" w:rsidP="00CF6C2C">
      <w:pPr>
        <w:jc w:val="center"/>
        <w:rPr>
          <w:lang w:val="ru-RU"/>
        </w:rPr>
      </w:pPr>
      <w:r>
        <w:rPr>
          <w:lang w:val="ru-RU"/>
        </w:rPr>
        <w:t>ПРИЁМЫ ФОРМИРОВАНИЯ МАТЕМАТИЧЕСКОЙ ГРАМОТНОСТИ НА УРОКАХ МАТЕМАТИКИ НА КРАЕВЕДЧЕСКОМ МАТЕРИАЛЕ</w:t>
      </w:r>
    </w:p>
    <w:p w:rsidR="00A70A78" w:rsidRDefault="00A70A78" w:rsidP="00CF6C2C">
      <w:pPr>
        <w:jc w:val="right"/>
        <w:rPr>
          <w:lang w:val="ru-RU"/>
        </w:rPr>
      </w:pPr>
    </w:p>
    <w:p w:rsidR="00CF6C2C" w:rsidRPr="00CF6C2C" w:rsidRDefault="00CF6C2C" w:rsidP="00CF6C2C">
      <w:pPr>
        <w:jc w:val="right"/>
        <w:rPr>
          <w:lang w:val="ru-RU"/>
        </w:rPr>
      </w:pPr>
      <w:r>
        <w:rPr>
          <w:lang w:val="ru-RU"/>
        </w:rPr>
        <w:t xml:space="preserve">Е. Н. </w:t>
      </w:r>
      <w:r w:rsidRPr="00CF6C2C">
        <w:rPr>
          <w:lang w:val="ru-RU"/>
        </w:rPr>
        <w:t xml:space="preserve">Трефилова, </w:t>
      </w:r>
    </w:p>
    <w:p w:rsidR="00CF6C2C" w:rsidRPr="00CF6C2C" w:rsidRDefault="00CF6C2C" w:rsidP="00CF6C2C">
      <w:pPr>
        <w:jc w:val="right"/>
        <w:rPr>
          <w:lang w:val="ru-RU"/>
        </w:rPr>
      </w:pPr>
      <w:r>
        <w:rPr>
          <w:lang w:val="ru-RU"/>
        </w:rPr>
        <w:t xml:space="preserve">М. К. </w:t>
      </w:r>
      <w:proofErr w:type="spellStart"/>
      <w:r w:rsidRPr="00CF6C2C">
        <w:rPr>
          <w:lang w:val="ru-RU"/>
        </w:rPr>
        <w:t>Гомзякова</w:t>
      </w:r>
      <w:proofErr w:type="spellEnd"/>
      <w:r w:rsidRPr="00CF6C2C">
        <w:rPr>
          <w:lang w:val="ru-RU"/>
        </w:rPr>
        <w:t xml:space="preserve">, </w:t>
      </w:r>
    </w:p>
    <w:p w:rsidR="00CF6C2C" w:rsidRDefault="00CF6C2C" w:rsidP="00CF6C2C">
      <w:pPr>
        <w:jc w:val="right"/>
        <w:rPr>
          <w:lang w:val="ru-RU"/>
        </w:rPr>
      </w:pPr>
      <w:r w:rsidRPr="00CF6C2C">
        <w:rPr>
          <w:lang w:val="ru-RU"/>
        </w:rPr>
        <w:t>МБОУ «Полазненская СОШ №1»</w:t>
      </w:r>
      <w:r>
        <w:rPr>
          <w:lang w:val="ru-RU"/>
        </w:rPr>
        <w:t>,</w:t>
      </w:r>
    </w:p>
    <w:p w:rsidR="00CF6C2C" w:rsidRDefault="00F43430" w:rsidP="00CF6C2C">
      <w:pPr>
        <w:jc w:val="right"/>
        <w:rPr>
          <w:lang w:val="ru-RU"/>
        </w:rPr>
      </w:pPr>
      <w:r>
        <w:rPr>
          <w:lang w:val="ru-RU"/>
        </w:rPr>
        <w:t xml:space="preserve">учителя </w:t>
      </w:r>
      <w:r w:rsidR="00CF6C2C" w:rsidRPr="00CF6C2C">
        <w:rPr>
          <w:lang w:val="ru-RU"/>
        </w:rPr>
        <w:t>начальных классов</w:t>
      </w:r>
    </w:p>
    <w:p w:rsidR="00CF6C2C" w:rsidRDefault="00CF6C2C" w:rsidP="00CF6C2C">
      <w:pPr>
        <w:jc w:val="right"/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Полазна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Добрянский</w:t>
      </w:r>
      <w:proofErr w:type="spellEnd"/>
      <w:r>
        <w:rPr>
          <w:lang w:val="ru-RU"/>
        </w:rPr>
        <w:t xml:space="preserve"> городской округ</w:t>
      </w:r>
    </w:p>
    <w:p w:rsidR="00CF6C2C" w:rsidRDefault="00CF6C2C" w:rsidP="00CF6C2C">
      <w:pPr>
        <w:jc w:val="right"/>
        <w:rPr>
          <w:lang w:val="ru-RU"/>
        </w:rPr>
      </w:pP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Функциональная грамотность – способность применять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Традиционно функциональная грамотность делится на такие составляющие, как читательская, математическая, </w:t>
      </w:r>
      <w:r>
        <w:rPr>
          <w:lang w:val="ru-RU"/>
        </w:rPr>
        <w:t xml:space="preserve">естественно-научная, финансовая </w:t>
      </w:r>
      <w:r w:rsidRPr="00061E6C">
        <w:rPr>
          <w:lang w:val="ru-RU"/>
        </w:rPr>
        <w:t>грамотность; глобальные компетенции и креативное мышление. ФГОС требует овладения всеми видами функциональной грамотности.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Одним из её видов является математическая грамотность.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Актуальность исследования развития математической функциональной грамотности обучающихся начальной школы обусловлена значительными изменениями приоритетов школьного образования в России. Одним из важных направлений научно-практических исследований в данном контексте становится усиление внимания к обеспечению адаптации обучающихся к существующим реалиям. В связи с чем наиболее значимыми становится использование математической функциональной грамотности обучающихся как одно из необходимых условий эффективной жизнедеятельности для реализации их самообучения и саморазвития.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Под математической грамотностью понимается способность учащихся: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 xml:space="preserve">•   распознавать проблемы, которые возникают в окружающей действительности и </w:t>
      </w:r>
      <w:r w:rsidR="00F43430">
        <w:rPr>
          <w:lang w:val="ru-RU"/>
        </w:rPr>
        <w:t>могут</w:t>
      </w:r>
      <w:r w:rsidRPr="00061E6C">
        <w:rPr>
          <w:lang w:val="ru-RU"/>
        </w:rPr>
        <w:t xml:space="preserve"> быть решены средствами математики;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•   формировать эти проблемы на языке математики;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•   решать эти проблемы, используя математические факты и методы;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•   анализировать и использовать математические методы решения;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•   интерпретировать полученные результаты с учетом поставленной проблемы;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•   формулировать и записывать результаты решения.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 xml:space="preserve">Таким образом, функциональная математическая грамотность - 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061E6C">
        <w:rPr>
          <w:lang w:val="ru-RU"/>
        </w:rPr>
        <w:t>межпредметного</w:t>
      </w:r>
      <w:proofErr w:type="spellEnd"/>
      <w:r w:rsidRPr="00061E6C">
        <w:rPr>
          <w:lang w:val="ru-RU"/>
        </w:rPr>
        <w:t xml:space="preserve"> и практико-ориентированного содержания, для дальнейшего обучения и успешной социализации в обществе.</w:t>
      </w:r>
    </w:p>
    <w:p w:rsidR="00CF6C2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Развитие математической грамотности на уроках в начальной школе осуществляется через формирование умения работать с задачей, через развитие логической грамотности и математической речи.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>
        <w:rPr>
          <w:lang w:val="ru-RU"/>
        </w:rPr>
        <w:t>Подробнее</w:t>
      </w:r>
      <w:r w:rsidRPr="00061E6C">
        <w:rPr>
          <w:lang w:val="ru-RU"/>
        </w:rPr>
        <w:t xml:space="preserve"> рассмотрим формирование математической грамотности при решении задач на краеведческом материале.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Математическая функциональная грамотность </w:t>
      </w:r>
      <w:r>
        <w:rPr>
          <w:lang w:val="ru-RU"/>
        </w:rPr>
        <w:t>– это комплекс трех компонентов.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Чтобы сформировать первый компонент, нужно найти ответ на вопрос ученика: «А зачем мне эта математика нужна?» Поэтому на уроке важно – проанализировать ситуацию, которая стимулирует потребность и желание изучать математику.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Учащимся предлагается решить задачу: Пермский край своей формой напоминает прямоугольник, вытянутый с севера на юг на 645 км. Сколько стран могло бы поместиться на территории Пермского края, если Швейцария имеет протяжённость 215 км?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На примере такой задачи учащиеся смогут представить территорию родного края в сравнении со Швейцарией.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lastRenderedPageBreak/>
        <w:t xml:space="preserve">Чтобы сформировать второй компонент, </w:t>
      </w:r>
      <w:r>
        <w:rPr>
          <w:lang w:val="ru-RU"/>
        </w:rPr>
        <w:t>предлагайте</w:t>
      </w:r>
      <w:r w:rsidRPr="00061E6C">
        <w:rPr>
          <w:lang w:val="ru-RU"/>
        </w:rPr>
        <w:t xml:space="preserve"> детям на уроках задания: сравнить предметы (фигуры) по их форме и размерам, сравнить числа; упорядочить данное множество чисел, сравнить разные способы вычисления, выбрать наиболее удобный; проанализировать структуру числового выражения, чтобы определить порядок выполнения арифметических действий.</w:t>
      </w:r>
    </w:p>
    <w:p w:rsidR="00061E6C" w:rsidRP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Для успешного выполнения заданий, у детей должны быть сформированы читательская грамотность и смысловое чтение текстов.</w:t>
      </w:r>
    </w:p>
    <w:p w:rsidR="00061E6C" w:rsidRDefault="00061E6C" w:rsidP="00061E6C">
      <w:pPr>
        <w:ind w:firstLine="709"/>
        <w:contextualSpacing/>
        <w:rPr>
          <w:lang w:val="ru-RU"/>
        </w:rPr>
      </w:pPr>
      <w:r w:rsidRPr="00061E6C">
        <w:rPr>
          <w:lang w:val="ru-RU"/>
        </w:rPr>
        <w:t>Ребятам предлагается такая ситуация: Бабушка решила угостить своих внуков блинами со сметаной. Для решения данной задачи ученики разбиваются на пары. Одни изучают упаковки от молока, другие - от сметаны разных пермских производителей.  Числовые данные необходимо записать в таблицу и сделать вывод, продукцию какого производителя лучше купить бабушке, и почему.</w:t>
      </w:r>
    </w:p>
    <w:p w:rsidR="00434220" w:rsidRDefault="00434220" w:rsidP="00061E6C">
      <w:pPr>
        <w:ind w:firstLine="709"/>
        <w:contextualSpacing/>
        <w:rPr>
          <w:lang w:val="ru-RU"/>
        </w:rPr>
      </w:pPr>
    </w:p>
    <w:p w:rsidR="00434220" w:rsidRDefault="00434220" w:rsidP="00434220">
      <w:pPr>
        <w:ind w:firstLine="709"/>
        <w:contextualSpacing/>
        <w:rPr>
          <w:lang w:val="ru-RU"/>
        </w:rPr>
      </w:pPr>
    </w:p>
    <w:p w:rsidR="00434220" w:rsidRDefault="00434220" w:rsidP="00434220">
      <w:pPr>
        <w:ind w:firstLine="709"/>
        <w:contextualSpacing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32C38A3C">
            <wp:extent cx="1554480" cy="22072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D091A52" wp14:editId="5143994D">
            <wp:extent cx="1603375" cy="2225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220" w:rsidRDefault="00434220" w:rsidP="00434220">
      <w:pPr>
        <w:ind w:firstLine="709"/>
        <w:contextualSpacing/>
        <w:rPr>
          <w:noProof/>
          <w:lang w:val="ru-RU"/>
        </w:rPr>
      </w:pPr>
    </w:p>
    <w:p w:rsidR="00434220" w:rsidRDefault="00434220" w:rsidP="00434220">
      <w:pPr>
        <w:ind w:firstLine="709"/>
        <w:contextualSpacing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50B7D6C">
            <wp:extent cx="1725295" cy="1975485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49FB0750">
            <wp:extent cx="2005965" cy="1969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220" w:rsidRPr="00061E6C" w:rsidRDefault="00434220" w:rsidP="00061E6C">
      <w:pPr>
        <w:ind w:firstLine="709"/>
        <w:contextualSpacing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1887"/>
      </w:tblGrid>
      <w:tr w:rsidR="00061E6C" w:rsidRPr="00061E6C" w:rsidTr="00710A14">
        <w:tc>
          <w:tcPr>
            <w:tcW w:w="3115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Молоко</w:t>
            </w:r>
          </w:p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983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 xml:space="preserve">Маслозавод </w:t>
            </w:r>
            <w:proofErr w:type="spellStart"/>
            <w:r w:rsidRPr="00061E6C">
              <w:rPr>
                <w:lang w:val="ru-RU"/>
              </w:rPr>
              <w:t>Нытвенский</w:t>
            </w:r>
            <w:proofErr w:type="spellEnd"/>
          </w:p>
        </w:tc>
        <w:tc>
          <w:tcPr>
            <w:tcW w:w="1887" w:type="dxa"/>
          </w:tcPr>
          <w:p w:rsidR="00061E6C" w:rsidRPr="00061E6C" w:rsidRDefault="00434220" w:rsidP="00434220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Молкомбинат</w:t>
            </w:r>
            <w:proofErr w:type="spellEnd"/>
            <w:r>
              <w:rPr>
                <w:lang w:val="ru-RU"/>
              </w:rPr>
              <w:t xml:space="preserve"> </w:t>
            </w:r>
            <w:r w:rsidR="00061E6C" w:rsidRPr="00061E6C">
              <w:rPr>
                <w:lang w:val="ru-RU"/>
              </w:rPr>
              <w:t>Кунгурский</w:t>
            </w: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наименование продукта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срок годности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жиров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белков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углеводов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калорийность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710A14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объём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</w:tbl>
    <w:p w:rsidR="00061E6C" w:rsidRPr="00061E6C" w:rsidRDefault="00061E6C" w:rsidP="00061E6C">
      <w:pPr>
        <w:ind w:firstLine="709"/>
        <w:contextualSpacing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1887"/>
      </w:tblGrid>
      <w:tr w:rsidR="00061E6C" w:rsidRPr="00061E6C" w:rsidTr="00434220">
        <w:tc>
          <w:tcPr>
            <w:tcW w:w="3115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lastRenderedPageBreak/>
              <w:t>Сметана</w:t>
            </w:r>
          </w:p>
        </w:tc>
        <w:tc>
          <w:tcPr>
            <w:tcW w:w="1983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 xml:space="preserve">Маслозавод </w:t>
            </w:r>
            <w:proofErr w:type="spellStart"/>
            <w:r w:rsidRPr="00061E6C">
              <w:rPr>
                <w:lang w:val="ru-RU"/>
              </w:rPr>
              <w:t>Нытвенский</w:t>
            </w:r>
            <w:proofErr w:type="spellEnd"/>
          </w:p>
        </w:tc>
        <w:tc>
          <w:tcPr>
            <w:tcW w:w="1887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proofErr w:type="spellStart"/>
            <w:r w:rsidRPr="00061E6C">
              <w:rPr>
                <w:lang w:val="ru-RU"/>
              </w:rPr>
              <w:t>Молкомбинат</w:t>
            </w:r>
            <w:proofErr w:type="spellEnd"/>
            <w:r w:rsidRPr="00061E6C">
              <w:rPr>
                <w:lang w:val="ru-RU"/>
              </w:rPr>
              <w:t xml:space="preserve"> Кунгурский</w:t>
            </w: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 xml:space="preserve">наименование </w:t>
            </w:r>
            <w:r w:rsidR="00434220">
              <w:rPr>
                <w:lang w:val="ru-RU"/>
              </w:rPr>
              <w:t xml:space="preserve">    </w:t>
            </w:r>
            <w:r w:rsidRPr="00061E6C">
              <w:rPr>
                <w:lang w:val="ru-RU"/>
              </w:rPr>
              <w:t>продукта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срок годности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жиров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белков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углеводов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калорийность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объём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  <w:tr w:rsidR="00061E6C" w:rsidRPr="00061E6C" w:rsidTr="00434220">
        <w:tc>
          <w:tcPr>
            <w:tcW w:w="3115" w:type="dxa"/>
          </w:tcPr>
          <w:p w:rsidR="00061E6C" w:rsidRPr="00061E6C" w:rsidRDefault="00061E6C" w:rsidP="00434220">
            <w:pPr>
              <w:contextualSpacing/>
              <w:rPr>
                <w:lang w:val="ru-RU"/>
              </w:rPr>
            </w:pPr>
            <w:r w:rsidRPr="00061E6C">
              <w:rPr>
                <w:lang w:val="ru-RU"/>
              </w:rPr>
              <w:t>количество молочнокислых микроорганизмов на 1г продукта</w:t>
            </w:r>
          </w:p>
        </w:tc>
        <w:tc>
          <w:tcPr>
            <w:tcW w:w="1983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  <w:tc>
          <w:tcPr>
            <w:tcW w:w="1887" w:type="dxa"/>
          </w:tcPr>
          <w:p w:rsidR="00061E6C" w:rsidRPr="00061E6C" w:rsidRDefault="00061E6C" w:rsidP="00061E6C">
            <w:pPr>
              <w:ind w:firstLine="709"/>
              <w:contextualSpacing/>
              <w:rPr>
                <w:lang w:val="ru-RU"/>
              </w:rPr>
            </w:pPr>
          </w:p>
        </w:tc>
      </w:tr>
    </w:tbl>
    <w:p w:rsidR="00061E6C" w:rsidRPr="00061E6C" w:rsidRDefault="00061E6C" w:rsidP="00061E6C">
      <w:pPr>
        <w:ind w:firstLine="709"/>
        <w:contextualSpacing/>
        <w:rPr>
          <w:lang w:val="ru-RU"/>
        </w:rPr>
      </w:pP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Чтобы сформировать третий компонент математической функциональной грамотности, применяйте задания: на понимание и применение математической символики и терминологии, построение математических суждений (рассуждений). Полезно побуждать детей высказываться в ситуациях спора, дискуссии, которые вызваны противоречием.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-Прочитайте, расположите части текста по порядку.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сколько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экскурсия по Кунгурской пещере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скорость передвижения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очень медленная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туристов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длится 2 часа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скрыто от посетителей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10 м/мин</w:t>
      </w:r>
    </w:p>
    <w:p w:rsidR="00061E6C" w:rsidRPr="00061E6C" w:rsidRDefault="00061E6C" w:rsidP="00061E6C">
      <w:pPr>
        <w:ind w:firstLine="709"/>
        <w:contextualSpacing/>
        <w:rPr>
          <w:bCs/>
          <w:lang w:val="ru-RU"/>
        </w:rPr>
      </w:pPr>
      <w:r w:rsidRPr="00061E6C">
        <w:rPr>
          <w:bCs/>
          <w:lang w:val="ru-RU"/>
        </w:rPr>
        <w:t>метров пещеры</w:t>
      </w:r>
    </w:p>
    <w:p w:rsidR="00061E6C" w:rsidRPr="00061E6C" w:rsidRDefault="00061E6C" w:rsidP="00061E6C">
      <w:pPr>
        <w:ind w:firstLine="709"/>
        <w:contextualSpacing/>
      </w:pPr>
      <w:r w:rsidRPr="00061E6C">
        <w:rPr>
          <w:bCs/>
          <w:lang w:val="ru-RU"/>
        </w:rPr>
        <w:t>-Кто готов выполнить задание? Можно ли решить эту задачу? Все ли условия есть для её решения? Каких данных не хватает?</w:t>
      </w:r>
      <w:r w:rsidRPr="00061E6C">
        <w:t xml:space="preserve"> </w:t>
      </w:r>
    </w:p>
    <w:p w:rsidR="00F43430" w:rsidRDefault="00061E6C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  <w:r w:rsidRPr="00061E6C">
        <w:rPr>
          <w:lang w:val="ru-RU"/>
        </w:rPr>
        <w:t xml:space="preserve">Вывод: </w:t>
      </w:r>
      <w:r w:rsidRPr="00061E6C">
        <w:rPr>
          <w:bCs/>
          <w:lang w:val="ru-RU"/>
        </w:rPr>
        <w:t>для решения задачи не хватает длины Кунгурской пещеры. На экран выводится QR-код, по которому участники мастер-класса переходят на нужный сайт в интернете и получают информацию.</w:t>
      </w:r>
      <w:r w:rsidR="00434220" w:rsidRPr="00434220">
        <w:rPr>
          <w:rFonts w:eastAsia="Times New Roman" w:cs="Times New Roman"/>
          <w:bCs/>
          <w:color w:val="000000"/>
          <w:sz w:val="28"/>
          <w:lang w:val="ru-RU"/>
        </w:rPr>
        <w:t xml:space="preserve"> </w:t>
      </w:r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  <w:r>
        <w:rPr>
          <w:rFonts w:eastAsia="Times New Roman" w:cs="Times New Roman"/>
          <w:bCs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1341120" cy="13411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  <w:bookmarkStart w:id="0" w:name="_GoBack"/>
      <w:bookmarkEnd w:id="0"/>
    </w:p>
    <w:p w:rsidR="00330652" w:rsidRDefault="00330652" w:rsidP="00434220">
      <w:pPr>
        <w:ind w:firstLine="709"/>
        <w:contextualSpacing/>
        <w:rPr>
          <w:rFonts w:eastAsia="Times New Roman" w:cs="Times New Roman"/>
          <w:bCs/>
          <w:color w:val="000000"/>
          <w:sz w:val="28"/>
          <w:lang w:val="ru-RU"/>
        </w:rPr>
      </w:pPr>
    </w:p>
    <w:p w:rsidR="00434220" w:rsidRPr="00F43430" w:rsidRDefault="00F43430" w:rsidP="00434220">
      <w:pPr>
        <w:ind w:firstLine="709"/>
        <w:contextualSpacing/>
        <w:rPr>
          <w:rFonts w:eastAsia="Times New Roman" w:cs="Times New Roman"/>
          <w:bCs/>
          <w:color w:val="000000"/>
          <w:lang w:val="ru-RU"/>
        </w:rPr>
      </w:pPr>
      <w:r>
        <w:rPr>
          <w:rFonts w:eastAsia="Times New Roman" w:cs="Times New Roman"/>
          <w:bCs/>
          <w:color w:val="000000"/>
          <w:lang w:val="ru-RU"/>
        </w:rPr>
        <w:t xml:space="preserve">Таким образом, на примере представленных </w:t>
      </w:r>
      <w:r w:rsidRPr="00F43430">
        <w:rPr>
          <w:rFonts w:eastAsia="Times New Roman" w:cs="Times New Roman"/>
          <w:bCs/>
          <w:color w:val="000000"/>
          <w:lang w:val="ru-RU"/>
        </w:rPr>
        <w:t>задач мы показали вам, как можно формировать матем</w:t>
      </w:r>
      <w:r>
        <w:rPr>
          <w:rFonts w:eastAsia="Times New Roman" w:cs="Times New Roman"/>
          <w:bCs/>
          <w:color w:val="000000"/>
          <w:lang w:val="ru-RU"/>
        </w:rPr>
        <w:t>атическую</w:t>
      </w:r>
      <w:r w:rsidRPr="00F43430">
        <w:rPr>
          <w:rFonts w:eastAsia="Times New Roman" w:cs="Times New Roman"/>
          <w:bCs/>
          <w:color w:val="000000"/>
          <w:lang w:val="ru-RU"/>
        </w:rPr>
        <w:t xml:space="preserve"> грамотность на уроках, используя сведения о родном крае.</w:t>
      </w:r>
    </w:p>
    <w:p w:rsidR="00434220" w:rsidRDefault="00434220" w:rsidP="001079DC">
      <w:pPr>
        <w:contextualSpacing/>
        <w:rPr>
          <w:rFonts w:eastAsia="Times New Roman" w:cs="Times New Roman"/>
          <w:bCs/>
          <w:color w:val="000000"/>
          <w:lang w:val="ru-RU"/>
        </w:rPr>
      </w:pPr>
    </w:p>
    <w:p w:rsidR="00434220" w:rsidRDefault="00434220" w:rsidP="00434220">
      <w:pPr>
        <w:ind w:firstLine="709"/>
        <w:contextualSpacing/>
        <w:jc w:val="center"/>
        <w:rPr>
          <w:rFonts w:eastAsia="Times New Roman" w:cs="Times New Roman"/>
          <w:bCs/>
          <w:color w:val="000000"/>
          <w:lang w:val="ru-RU"/>
        </w:rPr>
      </w:pPr>
      <w:r w:rsidRPr="00434220">
        <w:rPr>
          <w:rFonts w:eastAsia="Times New Roman" w:cs="Times New Roman"/>
          <w:bCs/>
          <w:color w:val="000000"/>
          <w:lang w:val="ru-RU"/>
        </w:rPr>
        <w:t>Список литературы</w:t>
      </w:r>
    </w:p>
    <w:p w:rsidR="00434220" w:rsidRPr="00434220" w:rsidRDefault="00434220" w:rsidP="00434220">
      <w:pPr>
        <w:ind w:firstLine="709"/>
        <w:contextualSpacing/>
        <w:jc w:val="center"/>
        <w:rPr>
          <w:rFonts w:eastAsia="Times New Roman" w:cs="Times New Roman"/>
          <w:bCs/>
          <w:color w:val="000000"/>
          <w:lang w:val="ru-RU"/>
        </w:rPr>
      </w:pPr>
    </w:p>
    <w:p w:rsidR="00434220" w:rsidRPr="00434220" w:rsidRDefault="00434220" w:rsidP="00434220">
      <w:pPr>
        <w:ind w:firstLine="709"/>
        <w:contextualSpacing/>
        <w:rPr>
          <w:bCs/>
          <w:lang w:val="ru-RU"/>
        </w:rPr>
      </w:pPr>
      <w:r w:rsidRPr="00434220">
        <w:rPr>
          <w:bCs/>
          <w:lang w:val="ru-RU"/>
        </w:rPr>
        <w:t>1.</w:t>
      </w:r>
      <w:r w:rsidRPr="00434220">
        <w:rPr>
          <w:bCs/>
          <w:lang w:val="ru-RU"/>
        </w:rPr>
        <w:tab/>
        <w:t xml:space="preserve">Иванова Т.А., Симонова О.В. Структура математической грамотности школьников в контексте формирования их функциональной грамотности // Вестник </w:t>
      </w:r>
      <w:proofErr w:type="spellStart"/>
      <w:r w:rsidRPr="00434220">
        <w:rPr>
          <w:bCs/>
          <w:lang w:val="ru-RU"/>
        </w:rPr>
        <w:t>ВятГУ</w:t>
      </w:r>
      <w:proofErr w:type="spellEnd"/>
      <w:r w:rsidRPr="00434220">
        <w:rPr>
          <w:bCs/>
          <w:lang w:val="ru-RU"/>
        </w:rPr>
        <w:t>. 2009.</w:t>
      </w:r>
    </w:p>
    <w:p w:rsidR="00434220" w:rsidRPr="00434220" w:rsidRDefault="00434220" w:rsidP="00434220">
      <w:pPr>
        <w:ind w:firstLine="709"/>
        <w:contextualSpacing/>
        <w:rPr>
          <w:bCs/>
          <w:lang w:val="ru-RU"/>
        </w:rPr>
      </w:pPr>
      <w:r w:rsidRPr="00434220">
        <w:rPr>
          <w:bCs/>
          <w:lang w:val="ru-RU"/>
        </w:rPr>
        <w:t>2.</w:t>
      </w:r>
      <w:r w:rsidRPr="00434220">
        <w:rPr>
          <w:bCs/>
          <w:lang w:val="ru-RU"/>
        </w:rPr>
        <w:tab/>
        <w:t>Губанова, М.И., Лебедева, Е.П. Функциональная грамотность младших школьников: проблемы и перспективы формирования [Текст] // Начальная школа плюс до и после. – 2009. - №1</w:t>
      </w:r>
    </w:p>
    <w:p w:rsidR="00434220" w:rsidRPr="00434220" w:rsidRDefault="00434220" w:rsidP="00434220">
      <w:pPr>
        <w:ind w:firstLine="709"/>
        <w:contextualSpacing/>
        <w:rPr>
          <w:bCs/>
          <w:lang w:val="ru-RU"/>
        </w:rPr>
      </w:pPr>
      <w:r w:rsidRPr="00434220">
        <w:rPr>
          <w:bCs/>
          <w:lang w:val="ru-RU"/>
        </w:rPr>
        <w:lastRenderedPageBreak/>
        <w:t>3.</w:t>
      </w:r>
      <w:r w:rsidRPr="00434220">
        <w:rPr>
          <w:bCs/>
          <w:lang w:val="ru-RU"/>
        </w:rPr>
        <w:tab/>
      </w:r>
      <w:proofErr w:type="spellStart"/>
      <w:r w:rsidRPr="00434220">
        <w:rPr>
          <w:bCs/>
          <w:lang w:val="ru-RU"/>
        </w:rPr>
        <w:t>Боровская</w:t>
      </w:r>
      <w:proofErr w:type="spellEnd"/>
      <w:r w:rsidRPr="00434220">
        <w:rPr>
          <w:bCs/>
          <w:lang w:val="ru-RU"/>
        </w:rPr>
        <w:t xml:space="preserve"> Л.А. Интегрированные задания регионального содержания и обучения младших школьников // Начальная школа. –  2013. – №1.</w:t>
      </w:r>
    </w:p>
    <w:p w:rsidR="00061E6C" w:rsidRDefault="00061E6C" w:rsidP="00061E6C">
      <w:pPr>
        <w:ind w:firstLine="709"/>
        <w:contextualSpacing/>
        <w:rPr>
          <w:bCs/>
          <w:lang w:val="ru-RU"/>
        </w:rPr>
      </w:pPr>
    </w:p>
    <w:p w:rsidR="00434220" w:rsidRPr="00061E6C" w:rsidRDefault="00434220" w:rsidP="00061E6C">
      <w:pPr>
        <w:ind w:firstLine="709"/>
        <w:contextualSpacing/>
        <w:rPr>
          <w:bCs/>
          <w:lang w:val="ru-RU"/>
        </w:rPr>
      </w:pPr>
    </w:p>
    <w:p w:rsidR="00061E6C" w:rsidRPr="00061E6C" w:rsidRDefault="00061E6C" w:rsidP="00061E6C">
      <w:pPr>
        <w:ind w:firstLine="709"/>
        <w:contextualSpacing/>
        <w:rPr>
          <w:lang w:val="ru-RU"/>
        </w:rPr>
      </w:pPr>
    </w:p>
    <w:sectPr w:rsidR="00061E6C" w:rsidRPr="00061E6C" w:rsidSect="00061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2C"/>
    <w:rsid w:val="00061E6C"/>
    <w:rsid w:val="001079DC"/>
    <w:rsid w:val="00180176"/>
    <w:rsid w:val="00330652"/>
    <w:rsid w:val="00434220"/>
    <w:rsid w:val="0050443B"/>
    <w:rsid w:val="00A70A78"/>
    <w:rsid w:val="00B13247"/>
    <w:rsid w:val="00CF6C2C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68C1-E2C5-4E05-BF9D-19E6A0A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76"/>
    <w:rPr>
      <w:rFonts w:ascii="Times New Roman" w:hAnsi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rFonts w:eastAsia="Times New Roman" w:cs="Times New Roman"/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06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2022-06-28T18:46:00Z</dcterms:created>
  <dcterms:modified xsi:type="dcterms:W3CDTF">2022-06-28T18:46:00Z</dcterms:modified>
</cp:coreProperties>
</file>